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D44" w:rsidRDefault="00B33D44" w:rsidP="00B33D44">
      <w:pPr>
        <w:pStyle w:val="32"/>
        <w:keepNext/>
        <w:keepLines/>
        <w:shd w:val="clear" w:color="auto" w:fill="auto"/>
        <w:tabs>
          <w:tab w:val="left" w:pos="958"/>
        </w:tabs>
        <w:spacing w:before="0" w:after="0" w:line="240" w:lineRule="auto"/>
        <w:rPr>
          <w:rFonts w:ascii="Times New Roman" w:hAnsi="Times New Roman" w:cs="Times New Roman"/>
          <w:spacing w:val="0"/>
          <w:sz w:val="24"/>
          <w:szCs w:val="24"/>
        </w:rPr>
      </w:pPr>
      <w:bookmarkStart w:id="0" w:name="bookmark1"/>
    </w:p>
    <w:p w:rsidR="00B33D44" w:rsidRPr="007D4CCE" w:rsidRDefault="00B33D44" w:rsidP="00B33D44">
      <w:pPr>
        <w:pStyle w:val="32"/>
        <w:keepNext/>
        <w:keepLines/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pacing w:val="0"/>
          <w:sz w:val="24"/>
          <w:szCs w:val="24"/>
        </w:rPr>
      </w:pPr>
      <w:r>
        <w:rPr>
          <w:rFonts w:ascii="Times New Roman" w:hAnsi="Times New Roman" w:cs="Times New Roman"/>
          <w:spacing w:val="0"/>
          <w:sz w:val="24"/>
          <w:szCs w:val="24"/>
        </w:rPr>
        <w:tab/>
      </w:r>
      <w:r w:rsidRPr="007D4CCE">
        <w:rPr>
          <w:rFonts w:ascii="Times New Roman" w:hAnsi="Times New Roman" w:cs="Times New Roman"/>
          <w:spacing w:val="0"/>
          <w:sz w:val="24"/>
          <w:szCs w:val="24"/>
        </w:rPr>
        <w:t>Организация движения с помощью разметки</w:t>
      </w:r>
      <w:bookmarkEnd w:id="0"/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b/>
          <w:sz w:val="24"/>
          <w:szCs w:val="24"/>
        </w:rPr>
        <w:t>Разметка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весьма эффективный способ организации и повышения безопасности движения, который применяют на дорогах с усовершенствованными покрытиями при интенсивности дви- жения более 1000 авт./сут.</w:t>
      </w:r>
    </w:p>
    <w:p w:rsidR="00B33D44" w:rsidRPr="00681477" w:rsidRDefault="00B33D44" w:rsidP="00B33D44">
      <w:pPr>
        <w:pStyle w:val="2"/>
        <w:shd w:val="clear" w:color="auto" w:fill="auto"/>
        <w:spacing w:line="240" w:lineRule="auto"/>
        <w:ind w:firstLine="709"/>
        <w:rPr>
          <w:color w:val="FF0000"/>
          <w:sz w:val="24"/>
          <w:szCs w:val="24"/>
        </w:rPr>
      </w:pPr>
      <w:r w:rsidRPr="007D4CCE">
        <w:rPr>
          <w:sz w:val="24"/>
          <w:szCs w:val="24"/>
        </w:rPr>
        <w:t xml:space="preserve">Разметку выполняют в соответствии </w:t>
      </w:r>
      <w:r w:rsidRPr="00681477">
        <w:rPr>
          <w:color w:val="FF0000"/>
          <w:sz w:val="24"/>
          <w:szCs w:val="24"/>
        </w:rPr>
        <w:t>с ГОСТ Р 51256 — 99 «Технические средства организации дорожного движения. Разметка дорожная. Типы и основные параметры. Общие технические требования», а также ГОСТ 52289—2004.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Разметка бывает горизонтальная, которую наносят на поверхность дорожного покрытия, и вертикальная, которую наносят на дорожное обустройство и сооружения.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Каждому виду разметки присвоен номер, состоящий из цифр, означающих: </w:t>
      </w:r>
    </w:p>
    <w:p w:rsidR="00B33D44" w:rsidRPr="00681477" w:rsidRDefault="00B33D44" w:rsidP="00B33D44">
      <w:pPr>
        <w:pStyle w:val="2"/>
        <w:numPr>
          <w:ilvl w:val="0"/>
          <w:numId w:val="1"/>
        </w:numPr>
        <w:shd w:val="clear" w:color="auto" w:fill="auto"/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 xml:space="preserve">первая цифра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номер группы, к которой принадлежит разметка (1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горизонтальная, 2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вертикальная); </w:t>
      </w:r>
    </w:p>
    <w:p w:rsidR="00B33D44" w:rsidRPr="00681477" w:rsidRDefault="00B33D44" w:rsidP="00B33D44">
      <w:pPr>
        <w:pStyle w:val="2"/>
        <w:numPr>
          <w:ilvl w:val="0"/>
          <w:numId w:val="1"/>
        </w:numPr>
        <w:shd w:val="clear" w:color="auto" w:fill="auto"/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 xml:space="preserve">вторая цифра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порядковый номер разметки в группе; </w:t>
      </w:r>
    </w:p>
    <w:p w:rsidR="00B33D44" w:rsidRPr="007D4CCE" w:rsidRDefault="00B33D44" w:rsidP="00B33D44">
      <w:pPr>
        <w:pStyle w:val="2"/>
        <w:numPr>
          <w:ilvl w:val="0"/>
          <w:numId w:val="1"/>
        </w:numPr>
        <w:shd w:val="clear" w:color="auto" w:fill="auto"/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 xml:space="preserve">третья цифра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номер разновидности разметки.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Для обеспечения видимости разметку выполняют из материалов белого (в ряде случаев желтого) цвета. На автомагистралях разметка должна обладать световозвращающим свойством. На дорогах с интенсивным движением (более 7000 авт./сут) разметку рекомендуется выполнять износоустойчивыми материалами (термопластик, хладопластик)</w:t>
      </w:r>
      <w:r>
        <w:rPr>
          <w:sz w:val="24"/>
          <w:szCs w:val="24"/>
        </w:rPr>
        <w:t>. Из условий безопасности и обе</w:t>
      </w:r>
      <w:r w:rsidRPr="007D4CCE">
        <w:rPr>
          <w:sz w:val="24"/>
          <w:szCs w:val="24"/>
        </w:rPr>
        <w:t>спечения водоотвода разметка не должна выступать над проезжей частью более чем на 6 мм.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В любой период эксплуатации коэффициент сцепления у разметки не должен отличаться бол</w:t>
      </w:r>
      <w:r>
        <w:rPr>
          <w:sz w:val="24"/>
          <w:szCs w:val="24"/>
        </w:rPr>
        <w:t>ее чем на 25 % от значения коэф</w:t>
      </w:r>
      <w:r w:rsidRPr="007D4CCE">
        <w:rPr>
          <w:sz w:val="24"/>
          <w:szCs w:val="24"/>
        </w:rPr>
        <w:t>фициента сцепления покрытия, на котором эта разметка выполнена.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Разметку выполняют сплошными и прерывистыми (пунктирными) линиями. Сплошные линии, нанесенные вдоль проезжей части, запрещается переезжать, прерывистые линии можно переезжать, соблюдая правила движения. </w:t>
      </w:r>
    </w:p>
    <w:p w:rsidR="00B33D44" w:rsidRPr="00681477" w:rsidRDefault="00B33D44" w:rsidP="00B33D44">
      <w:pPr>
        <w:pStyle w:val="2"/>
        <w:shd w:val="clear" w:color="auto" w:fill="auto"/>
        <w:spacing w:line="240" w:lineRule="auto"/>
        <w:ind w:firstLine="709"/>
        <w:rPr>
          <w:b/>
          <w:i/>
          <w:sz w:val="24"/>
          <w:szCs w:val="24"/>
        </w:rPr>
      </w:pPr>
      <w:r w:rsidRPr="00681477">
        <w:rPr>
          <w:b/>
          <w:i/>
          <w:sz w:val="24"/>
          <w:szCs w:val="24"/>
        </w:rPr>
        <w:t>Различают следующие основные виды линий.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rStyle w:val="a4"/>
          <w:b/>
          <w:sz w:val="24"/>
          <w:szCs w:val="24"/>
        </w:rPr>
        <w:t>Осевая линия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белая, сплошная или прерывистая, для разделения встречных транспортных потоков (1.1 или 1.2.2)</w:t>
      </w:r>
      <w:r>
        <w:rPr>
          <w:sz w:val="24"/>
          <w:szCs w:val="24"/>
          <w:vertAlign w:val="superscript"/>
        </w:rPr>
        <w:t>*</w:t>
      </w:r>
      <w:r w:rsidRPr="007D4CCE">
        <w:rPr>
          <w:sz w:val="24"/>
          <w:szCs w:val="24"/>
        </w:rPr>
        <w:t xml:space="preserve">. </w:t>
      </w:r>
      <w:r>
        <w:rPr>
          <w:rStyle w:val="1"/>
          <w:sz w:val="24"/>
          <w:szCs w:val="24"/>
        </w:rPr>
        <w:t>Ши</w:t>
      </w:r>
      <w:r w:rsidRPr="007D4CCE">
        <w:rPr>
          <w:sz w:val="24"/>
          <w:szCs w:val="24"/>
        </w:rPr>
        <w:t>рина осевой линии 0,1 м; длина линии прерывистой разметки обычно в 3 раза короче промежутка между линиями и зависит от скорости движения:</w:t>
      </w:r>
    </w:p>
    <w:p w:rsidR="00B33D44" w:rsidRPr="007D4CCE" w:rsidRDefault="00B33D44" w:rsidP="00B33D44">
      <w:pPr>
        <w:pStyle w:val="30"/>
        <w:shd w:val="clear" w:color="auto" w:fill="auto"/>
        <w:tabs>
          <w:tab w:val="left" w:leader="dot" w:pos="4073"/>
        </w:tabs>
        <w:spacing w:line="240" w:lineRule="auto"/>
        <w:ind w:firstLine="280"/>
        <w:rPr>
          <w:sz w:val="24"/>
          <w:szCs w:val="24"/>
        </w:rPr>
      </w:pPr>
      <w:r w:rsidRPr="007D4CCE">
        <w:rPr>
          <w:sz w:val="24"/>
          <w:szCs w:val="24"/>
        </w:rPr>
        <w:t>Скорость, км/ч</w:t>
      </w:r>
      <w:r w:rsidRPr="007D4CCE">
        <w:rPr>
          <w:sz w:val="24"/>
          <w:szCs w:val="24"/>
        </w:rPr>
        <w:tab/>
        <w:t xml:space="preserve"> До 60 </w:t>
      </w:r>
      <w:r>
        <w:rPr>
          <w:sz w:val="24"/>
          <w:szCs w:val="24"/>
        </w:rPr>
        <w:t xml:space="preserve">     </w:t>
      </w:r>
      <w:r w:rsidRPr="007D4CCE">
        <w:rPr>
          <w:sz w:val="24"/>
          <w:szCs w:val="24"/>
        </w:rPr>
        <w:t>Более 60</w:t>
      </w:r>
    </w:p>
    <w:p w:rsidR="00B33D44" w:rsidRPr="007D4CCE" w:rsidRDefault="00B33D44" w:rsidP="00B33D44">
      <w:pPr>
        <w:pStyle w:val="30"/>
        <w:shd w:val="clear" w:color="auto" w:fill="auto"/>
        <w:tabs>
          <w:tab w:val="left" w:leader="dot" w:pos="4082"/>
          <w:tab w:val="left" w:pos="5390"/>
        </w:tabs>
        <w:spacing w:line="240" w:lineRule="auto"/>
        <w:ind w:firstLine="280"/>
        <w:rPr>
          <w:sz w:val="24"/>
          <w:szCs w:val="24"/>
        </w:rPr>
      </w:pPr>
      <w:r w:rsidRPr="007D4CCE">
        <w:rPr>
          <w:sz w:val="24"/>
          <w:szCs w:val="24"/>
        </w:rPr>
        <w:t>Длина</w:t>
      </w:r>
      <w:r>
        <w:rPr>
          <w:sz w:val="24"/>
          <w:szCs w:val="24"/>
        </w:rPr>
        <w:t xml:space="preserve"> </w:t>
      </w:r>
      <w:r w:rsidRPr="007D4CCE">
        <w:rPr>
          <w:sz w:val="24"/>
          <w:szCs w:val="24"/>
        </w:rPr>
        <w:t>линий, м</w:t>
      </w:r>
      <w:r w:rsidRPr="007D4CCE">
        <w:rPr>
          <w:sz w:val="24"/>
          <w:szCs w:val="24"/>
        </w:rPr>
        <w:tab/>
        <w:t xml:space="preserve"> 1...3</w:t>
      </w:r>
      <w:r w:rsidRPr="007D4CCE">
        <w:rPr>
          <w:sz w:val="24"/>
          <w:szCs w:val="24"/>
        </w:rPr>
        <w:tab/>
        <w:t>3...4</w:t>
      </w:r>
    </w:p>
    <w:p w:rsidR="00B33D44" w:rsidRPr="007D4CCE" w:rsidRDefault="00B33D44" w:rsidP="00B33D44">
      <w:pPr>
        <w:pStyle w:val="30"/>
        <w:shd w:val="clear" w:color="auto" w:fill="auto"/>
        <w:tabs>
          <w:tab w:val="left" w:leader="dot" w:pos="4082"/>
        </w:tabs>
        <w:spacing w:line="240" w:lineRule="auto"/>
        <w:ind w:firstLine="280"/>
        <w:rPr>
          <w:sz w:val="24"/>
          <w:szCs w:val="24"/>
        </w:rPr>
      </w:pPr>
      <w:r w:rsidRPr="007D4CCE">
        <w:rPr>
          <w:sz w:val="24"/>
          <w:szCs w:val="24"/>
        </w:rPr>
        <w:t>Длина промежутков, м</w:t>
      </w:r>
      <w:r w:rsidRPr="007D4CCE">
        <w:rPr>
          <w:sz w:val="24"/>
          <w:szCs w:val="24"/>
        </w:rPr>
        <w:tab/>
        <w:t xml:space="preserve"> 3... 9 </w:t>
      </w:r>
      <w:r>
        <w:rPr>
          <w:sz w:val="24"/>
          <w:szCs w:val="24"/>
        </w:rPr>
        <w:t xml:space="preserve">           </w:t>
      </w:r>
      <w:r w:rsidRPr="007D4CCE">
        <w:rPr>
          <w:sz w:val="24"/>
          <w:szCs w:val="24"/>
        </w:rPr>
        <w:t>9... 12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rStyle w:val="a4"/>
          <w:b/>
          <w:sz w:val="24"/>
          <w:szCs w:val="24"/>
        </w:rPr>
        <w:t>Барьерная линия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белая, сплошная, рядом с прерывистой осевой линией, запрещает пер</w:t>
      </w:r>
      <w:r>
        <w:rPr>
          <w:sz w:val="24"/>
          <w:szCs w:val="24"/>
        </w:rPr>
        <w:t>есекать пунктирную линию со сто</w:t>
      </w:r>
      <w:r w:rsidRPr="007D4CCE">
        <w:rPr>
          <w:sz w:val="24"/>
          <w:szCs w:val="24"/>
        </w:rPr>
        <w:t>роны сплошной (1.11); ширина линии 0,1 м.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rStyle w:val="a4"/>
          <w:b/>
          <w:sz w:val="24"/>
          <w:szCs w:val="24"/>
        </w:rPr>
        <w:t>Разделительные линии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белые, сплошные или прерывистые служат для образования рядов в движении. В местах, где линии прерывистые, перестроение </w:t>
      </w:r>
      <w:r>
        <w:rPr>
          <w:sz w:val="24"/>
          <w:szCs w:val="24"/>
        </w:rPr>
        <w:t>разрешено, а там, где они сплош</w:t>
      </w:r>
      <w:r w:rsidRPr="007D4CCE">
        <w:rPr>
          <w:sz w:val="24"/>
          <w:szCs w:val="24"/>
        </w:rPr>
        <w:t xml:space="preserve">ные, </w:t>
      </w:r>
      <w:r>
        <w:rPr>
          <w:sz w:val="24"/>
          <w:szCs w:val="24"/>
        </w:rPr>
        <w:t>-</w:t>
      </w:r>
      <w:r w:rsidRPr="007D4CCE">
        <w:rPr>
          <w:sz w:val="24"/>
          <w:szCs w:val="24"/>
        </w:rPr>
        <w:t xml:space="preserve"> запрещено; ширина разделительных линий 0,1 м.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rStyle w:val="a4"/>
          <w:b/>
          <w:sz w:val="24"/>
          <w:szCs w:val="24"/>
        </w:rPr>
        <w:t>Граничные</w:t>
      </w:r>
      <w:r w:rsidRPr="00681477">
        <w:rPr>
          <w:b/>
          <w:sz w:val="24"/>
          <w:szCs w:val="24"/>
        </w:rPr>
        <w:t xml:space="preserve"> и </w:t>
      </w:r>
      <w:r w:rsidRPr="00681477">
        <w:rPr>
          <w:rStyle w:val="a4"/>
          <w:b/>
          <w:sz w:val="24"/>
          <w:szCs w:val="24"/>
        </w:rPr>
        <w:t>краевые линии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белые или желтые, сплошные или пунктирные, ограничивают проезжую ча</w:t>
      </w:r>
      <w:r>
        <w:rPr>
          <w:sz w:val="24"/>
          <w:szCs w:val="24"/>
        </w:rPr>
        <w:t>сть с краевой сто</w:t>
      </w:r>
      <w:r w:rsidRPr="007D4CCE">
        <w:rPr>
          <w:sz w:val="24"/>
          <w:szCs w:val="24"/>
        </w:rPr>
        <w:t>роны или отделяют потоки транспортных средств от пешеходов и велосипедистов (1.2.1, 1.2.2, 1.5, 1.7).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681477">
        <w:rPr>
          <w:rStyle w:val="a4"/>
          <w:b/>
          <w:sz w:val="24"/>
          <w:szCs w:val="24"/>
        </w:rPr>
        <w:t>Линии пе</w:t>
      </w:r>
      <w:r>
        <w:rPr>
          <w:rStyle w:val="a4"/>
          <w:b/>
          <w:sz w:val="24"/>
          <w:szCs w:val="24"/>
        </w:rPr>
        <w:t>ш</w:t>
      </w:r>
      <w:r w:rsidRPr="00681477">
        <w:rPr>
          <w:rStyle w:val="a4"/>
          <w:b/>
          <w:sz w:val="24"/>
          <w:szCs w:val="24"/>
        </w:rPr>
        <w:t>еходного перехода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белые, в виде поперечных широких полос (разметка типа зебра); ширина 0,4 м (1.14.1, 1.17.2).</w:t>
      </w:r>
    </w:p>
    <w:p w:rsidR="00B33D44" w:rsidRDefault="00B33D44" w:rsidP="00B33D44">
      <w:pPr>
        <w:pStyle w:val="60"/>
        <w:shd w:val="clear" w:color="auto" w:fill="auto"/>
        <w:spacing w:line="240" w:lineRule="auto"/>
        <w:ind w:firstLine="709"/>
        <w:rPr>
          <w:rStyle w:val="a3"/>
          <w:i w:val="0"/>
          <w:iCs w:val="0"/>
          <w:sz w:val="24"/>
          <w:szCs w:val="24"/>
        </w:rPr>
      </w:pPr>
      <w:r w:rsidRPr="007D4CCE">
        <w:rPr>
          <w:rStyle w:val="61"/>
          <w:sz w:val="24"/>
          <w:szCs w:val="24"/>
        </w:rPr>
        <w:t xml:space="preserve">Кроме того, применяют </w:t>
      </w:r>
      <w:r w:rsidRPr="00681477">
        <w:rPr>
          <w:b/>
          <w:sz w:val="24"/>
          <w:szCs w:val="24"/>
        </w:rPr>
        <w:t>линии поворота, направляющие стрелы, линии островков безопасности, посадочной площадки, запрещения остановки, надписи и стрелы на проезжей части</w:t>
      </w:r>
      <w:r w:rsidRPr="007D4CCE">
        <w:rPr>
          <w:rStyle w:val="a3"/>
          <w:sz w:val="24"/>
          <w:szCs w:val="24"/>
        </w:rPr>
        <w:t xml:space="preserve">и др. </w:t>
      </w:r>
    </w:p>
    <w:p w:rsidR="00B33D44" w:rsidRPr="007D4CCE" w:rsidRDefault="00B33D44" w:rsidP="00B33D44">
      <w:pPr>
        <w:pStyle w:val="6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rStyle w:val="a3"/>
          <w:sz w:val="24"/>
          <w:szCs w:val="24"/>
        </w:rPr>
        <w:t>Для большего воздействия линий разметку применяют в комплексе с установкой знаков, дублирующих или дополняющих смысл разметки. Это имеет особое значение для районов с длительным зимним периодом, когда разметка во многом теряет эффективность. Сплошную осевую линию 1.1 на двухполосных дорогах наносят перед железнодорожными переездами, в местах сужения проезжей части, на участках с ограниченной видимостью и на других опасных участках. Краевую сплошную линию 1.1 наносят, если ширина проезжей части более 6 м.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rStyle w:val="a4"/>
          <w:sz w:val="24"/>
          <w:szCs w:val="24"/>
        </w:rPr>
      </w:pPr>
      <w:r w:rsidRPr="007D4CCE">
        <w:rPr>
          <w:sz w:val="24"/>
          <w:szCs w:val="24"/>
        </w:rPr>
        <w:lastRenderedPageBreak/>
        <w:t>На прямых горизонтальных участках трехполосных дорог разметку проезжей части осуществляют так, чтобы средняя полоса использовалась для обгонов или организации реверсивного движения. В зависимости от интенсивности движения и состава потока обгоны по средней полосе могут быть организованы с помощью разметки без каких-либо ограничений для выезда на среднюю полосу (</w:t>
      </w:r>
      <w:r w:rsidRPr="00BE41E7">
        <w:rPr>
          <w:sz w:val="24"/>
          <w:szCs w:val="24"/>
          <w:highlight w:val="yellow"/>
        </w:rPr>
        <w:t xml:space="preserve">рис. 19.8, </w:t>
      </w:r>
      <w:r w:rsidRPr="00BE41E7">
        <w:rPr>
          <w:rStyle w:val="a4"/>
          <w:sz w:val="24"/>
          <w:szCs w:val="24"/>
          <w:highlight w:val="yellow"/>
        </w:rPr>
        <w:t>а</w:t>
      </w:r>
      <w:r w:rsidRPr="007D4CCE">
        <w:rPr>
          <w:rStyle w:val="a4"/>
          <w:sz w:val="24"/>
          <w:szCs w:val="24"/>
        </w:rPr>
        <w:t>),</w:t>
      </w:r>
      <w:r w:rsidRPr="007D4CCE">
        <w:rPr>
          <w:sz w:val="24"/>
          <w:szCs w:val="24"/>
        </w:rPr>
        <w:t xml:space="preserve"> с частичным ограничением (</w:t>
      </w:r>
      <w:r w:rsidRPr="00BE41E7">
        <w:rPr>
          <w:sz w:val="24"/>
          <w:szCs w:val="24"/>
          <w:highlight w:val="yellow"/>
        </w:rPr>
        <w:t xml:space="preserve">рис. 19.8, </w:t>
      </w:r>
      <w:r w:rsidRPr="00BE41E7">
        <w:rPr>
          <w:rStyle w:val="a4"/>
          <w:sz w:val="24"/>
          <w:szCs w:val="24"/>
          <w:highlight w:val="yellow"/>
        </w:rPr>
        <w:t>б</w:t>
      </w:r>
      <w:r w:rsidRPr="007D4CCE">
        <w:rPr>
          <w:rStyle w:val="a4"/>
          <w:sz w:val="24"/>
          <w:szCs w:val="24"/>
        </w:rPr>
        <w:t>)</w:t>
      </w:r>
      <w:r w:rsidRPr="007D4CCE">
        <w:rPr>
          <w:sz w:val="24"/>
          <w:szCs w:val="24"/>
        </w:rPr>
        <w:t xml:space="preserve"> и с попеременным, раздельным для каждого направления использованием средней полосы (</w:t>
      </w:r>
      <w:r w:rsidRPr="00BE41E7">
        <w:rPr>
          <w:sz w:val="24"/>
          <w:szCs w:val="24"/>
          <w:highlight w:val="yellow"/>
        </w:rPr>
        <w:t xml:space="preserve">рис. 19.8, </w:t>
      </w:r>
      <w:r w:rsidRPr="00BE41E7">
        <w:rPr>
          <w:rStyle w:val="a4"/>
          <w:sz w:val="24"/>
          <w:szCs w:val="24"/>
          <w:highlight w:val="yellow"/>
        </w:rPr>
        <w:t>в</w:t>
      </w:r>
      <w:r w:rsidRPr="007D4CCE">
        <w:rPr>
          <w:rStyle w:val="a4"/>
          <w:sz w:val="24"/>
          <w:szCs w:val="24"/>
        </w:rPr>
        <w:t>).</w:t>
      </w:r>
    </w:p>
    <w:p w:rsidR="00B33D44" w:rsidRDefault="00B33D44" w:rsidP="00B33D44">
      <w:pPr>
        <w:pStyle w:val="2"/>
        <w:shd w:val="clear" w:color="auto" w:fill="auto"/>
        <w:spacing w:line="240" w:lineRule="auto"/>
        <w:jc w:val="center"/>
        <w:rPr>
          <w:rStyle w:val="a4"/>
          <w:i w:val="0"/>
          <w:sz w:val="24"/>
          <w:szCs w:val="24"/>
        </w:rPr>
      </w:pPr>
      <w:r>
        <w:rPr>
          <w:noProof/>
        </w:rPr>
        <w:drawing>
          <wp:inline distT="0" distB="0" distL="0" distR="0" wp14:anchorId="5C88E06F" wp14:editId="0A16E3CF">
            <wp:extent cx="4371975" cy="246697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D44" w:rsidRDefault="00B33D44" w:rsidP="00B33D44">
      <w:pPr>
        <w:pStyle w:val="2"/>
        <w:shd w:val="clear" w:color="auto" w:fill="auto"/>
        <w:spacing w:line="240" w:lineRule="auto"/>
        <w:jc w:val="center"/>
        <w:rPr>
          <w:rStyle w:val="a4"/>
          <w:i w:val="0"/>
          <w:sz w:val="24"/>
          <w:szCs w:val="24"/>
        </w:rPr>
      </w:pPr>
      <w:r>
        <w:rPr>
          <w:noProof/>
        </w:rPr>
        <w:drawing>
          <wp:inline distT="0" distB="0" distL="0" distR="0" wp14:anchorId="2B2E3BBD" wp14:editId="27B69CB3">
            <wp:extent cx="4448175" cy="1257300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rStyle w:val="11pt"/>
          <w:sz w:val="24"/>
          <w:szCs w:val="24"/>
        </w:rPr>
      </w:pPr>
      <w:r w:rsidRPr="00BE41E7">
        <w:rPr>
          <w:rStyle w:val="11pt"/>
          <w:sz w:val="24"/>
          <w:szCs w:val="24"/>
          <w:highlight w:val="yellow"/>
        </w:rPr>
        <w:t>Рис. 19.8.</w:t>
      </w:r>
      <w:r w:rsidRPr="007D4CCE">
        <w:rPr>
          <w:rStyle w:val="11pt"/>
          <w:sz w:val="24"/>
          <w:szCs w:val="24"/>
        </w:rPr>
        <w:t xml:space="preserve"> Схемы разметки трехполосных дорог </w:t>
      </w:r>
      <w:r w:rsidRPr="007D4CCE">
        <w:rPr>
          <w:rStyle w:val="115pt"/>
          <w:sz w:val="24"/>
          <w:szCs w:val="24"/>
        </w:rPr>
        <w:t xml:space="preserve">(размеры даны </w:t>
      </w:r>
      <w:r w:rsidRPr="007D4CCE">
        <w:rPr>
          <w:rStyle w:val="11pt"/>
          <w:sz w:val="24"/>
          <w:szCs w:val="24"/>
        </w:rPr>
        <w:t xml:space="preserve">в метрах); </w:t>
      </w:r>
    </w:p>
    <w:p w:rsidR="00B33D44" w:rsidRPr="00BE41E7" w:rsidRDefault="00B33D44" w:rsidP="00B33D44">
      <w:pPr>
        <w:pStyle w:val="2"/>
        <w:shd w:val="clear" w:color="auto" w:fill="auto"/>
        <w:spacing w:line="240" w:lineRule="auto"/>
        <w:ind w:firstLine="709"/>
        <w:rPr>
          <w:rStyle w:val="a4"/>
          <w:i w:val="0"/>
          <w:sz w:val="24"/>
          <w:szCs w:val="24"/>
        </w:rPr>
      </w:pPr>
      <w:r w:rsidRPr="007D4CCE">
        <w:rPr>
          <w:rStyle w:val="2pt"/>
          <w:sz w:val="24"/>
          <w:szCs w:val="24"/>
        </w:rPr>
        <w:t>а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без ограничений для выезда на среднюю полосу; </w:t>
      </w:r>
      <w:r w:rsidRPr="007D4CCE">
        <w:rPr>
          <w:rStyle w:val="2pt"/>
          <w:sz w:val="24"/>
          <w:szCs w:val="24"/>
        </w:rPr>
        <w:t>б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с</w:t>
      </w:r>
      <w:r>
        <w:rPr>
          <w:sz w:val="24"/>
          <w:szCs w:val="24"/>
        </w:rPr>
        <w:t xml:space="preserve"> </w:t>
      </w:r>
      <w:r w:rsidRPr="007D4CCE">
        <w:rPr>
          <w:sz w:val="24"/>
          <w:szCs w:val="24"/>
        </w:rPr>
        <w:t xml:space="preserve">частичным ограничением для выезда на среднюю полосу; </w:t>
      </w:r>
      <w:r w:rsidRPr="007D4CCE">
        <w:rPr>
          <w:rStyle w:val="2pt"/>
          <w:sz w:val="24"/>
          <w:szCs w:val="24"/>
        </w:rPr>
        <w:t>в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с</w:t>
      </w:r>
      <w:r>
        <w:rPr>
          <w:sz w:val="24"/>
          <w:szCs w:val="24"/>
        </w:rPr>
        <w:t xml:space="preserve"> </w:t>
      </w:r>
      <w:r w:rsidRPr="007D4CCE">
        <w:rPr>
          <w:sz w:val="24"/>
          <w:szCs w:val="24"/>
        </w:rPr>
        <w:t>попеременным, раздельным для каждого направления использованием средней полосы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BE41E7">
        <w:rPr>
          <w:sz w:val="24"/>
          <w:szCs w:val="24"/>
        </w:rPr>
        <w:t>Среднюю полосу целесообразно использовать для организации по ней реверсивного движения, если интенсивность движения, приходящаяся на каждую полосу в час пик, превы</w:t>
      </w:r>
      <w:r>
        <w:rPr>
          <w:sz w:val="24"/>
          <w:szCs w:val="24"/>
        </w:rPr>
        <w:t>ша</w:t>
      </w:r>
      <w:r w:rsidRPr="00BE41E7">
        <w:rPr>
          <w:sz w:val="24"/>
          <w:szCs w:val="24"/>
        </w:rPr>
        <w:t>ет</w:t>
      </w:r>
      <w:r>
        <w:rPr>
          <w:sz w:val="24"/>
          <w:szCs w:val="24"/>
        </w:rPr>
        <w:t xml:space="preserve"> 500 </w:t>
      </w:r>
      <w:r w:rsidRPr="007D4CCE">
        <w:rPr>
          <w:sz w:val="24"/>
          <w:szCs w:val="24"/>
        </w:rPr>
        <w:t>авт./ч, а суммарная интенсивность в прямом направлении больше, чем во встречном, на 500 авт./ч и эта неравномерность изменяется по направлениям в течение суток или по дням недели регулярно.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На прямых горизонтальных участках многополосных дорог с помощью разметки разделяют встречные потоки, нанося по оси проезжей части двойную сплошную линию 1.3 (при отсутствии разделительной полосы), обозначая границы полос движения пунктирной линией 1.5 и край проезжей части сплошной линией</w:t>
      </w:r>
      <w:r>
        <w:rPr>
          <w:sz w:val="24"/>
          <w:szCs w:val="24"/>
        </w:rPr>
        <w:t xml:space="preserve"> 1.1 </w:t>
      </w:r>
      <w:r w:rsidRPr="007D4CCE">
        <w:rPr>
          <w:sz w:val="24"/>
          <w:szCs w:val="24"/>
        </w:rPr>
        <w:t>или 1.2.1 (для скоростных дорог).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Для разметки дорог используют краски, эмали, пленки, термопластики, полимерные ленты и другие материалы, которые обладают требуемой белизной, долговечностью, шероховатостью, контрастностью и световозвращающей способностыо, влаго- и морозоустойчивостью, малой загрязняемостью.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Для разметки дорог можно применять местные материалы (фарфоровую крошку, фаянсовый бой, шлакоситал, халцедон и др.).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Нитроэпоксидную эмаль и термопластик наносят с помощью разметочных машин. Расход материалов на 1 км сплошной линии шириной 10 см составляет: нитроэпоксидной эмали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40 кг, термопластика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600 кг. 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Разметку возобновляют, как только износ сплошной линии на участке длиной 20 м составляет 25 % ее площади и более, а прерывистой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не менее 50 %, а также при меньшем износе, если невозможно определить вид разметки. Надписи и символы наносят с помощью шаблонов и ручных краскораспылителей. Пластобетон распределяют по шаблонам с помощью шпателя.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lastRenderedPageBreak/>
        <w:t>Все бол</w:t>
      </w:r>
      <w:r>
        <w:rPr>
          <w:sz w:val="24"/>
          <w:szCs w:val="24"/>
        </w:rPr>
        <w:t>ьш</w:t>
      </w:r>
      <w:r w:rsidRPr="007D4CCE">
        <w:rPr>
          <w:sz w:val="24"/>
          <w:szCs w:val="24"/>
        </w:rPr>
        <w:t>ее распространение на автомобильных дорогах получает рифленая разметка, обладающая лучшими световозвращающими свойствами.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Перед укладкой термопласта необходимо очистить и подгрунтовать покрытие для улучшения адгезии. Термопласты чувствительны к деформации основания. Полимерные материалы, укладываемые в холодном состоянии, состоят из одно- или двухкомпонентного вяжущего, пигмента, светлых наполнителей, рефлектирующих материалов и растворителей.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Работы по устройству разметки дорог и ее возобновлению следует проводить в сухую погоду при температуре покрытия не менее +15 °С и относительной влажности воздуха не более 70 % при работе с красками и не боле</w:t>
      </w:r>
      <w:r>
        <w:rPr>
          <w:sz w:val="24"/>
          <w:szCs w:val="24"/>
        </w:rPr>
        <w:t>е 85 % при работе с термопласти</w:t>
      </w:r>
      <w:r w:rsidRPr="007D4CCE">
        <w:rPr>
          <w:sz w:val="24"/>
          <w:szCs w:val="24"/>
        </w:rPr>
        <w:t>ком. Наносить разметку на влажное или пропитанное влагой покрытие не допускается.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C0483B">
        <w:rPr>
          <w:b/>
          <w:i/>
          <w:sz w:val="24"/>
          <w:szCs w:val="24"/>
        </w:rPr>
        <w:t>Технология</w:t>
      </w:r>
      <w:r w:rsidRPr="007D4CCE">
        <w:rPr>
          <w:sz w:val="24"/>
          <w:szCs w:val="24"/>
        </w:rPr>
        <w:t xml:space="preserve"> нанесения разметки на проезжую часть зависит от типа применяемого разметочного материала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термопластика или краски.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Работы по разметке проезжей части состоят из следующих этапов:</w:t>
      </w:r>
    </w:p>
    <w:p w:rsidR="00B33D44" w:rsidRPr="007D4CCE" w:rsidRDefault="00B33D44" w:rsidP="00B33D44">
      <w:pPr>
        <w:pStyle w:val="2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>подготовка дорожного покрытия;</w:t>
      </w:r>
    </w:p>
    <w:p w:rsidR="00B33D44" w:rsidRPr="007D4CCE" w:rsidRDefault="00B33D44" w:rsidP="00B33D44">
      <w:pPr>
        <w:pStyle w:val="2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>предварительная разметка проезжей части;</w:t>
      </w:r>
    </w:p>
    <w:p w:rsidR="00B33D44" w:rsidRPr="007D4CCE" w:rsidRDefault="00B33D44" w:rsidP="00B33D44">
      <w:pPr>
        <w:pStyle w:val="2"/>
        <w:numPr>
          <w:ilvl w:val="0"/>
          <w:numId w:val="2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7D4CCE">
        <w:rPr>
          <w:sz w:val="24"/>
          <w:szCs w:val="24"/>
        </w:rPr>
        <w:t>нанесение разметки маркировочной машиной.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Перед проведением работ по разметке покрытие очищают механической щеткой поливомоечной машины.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Предварительную разметку выполняют с помощью отбеленного шнура или нанесением на покрытие меток краской. Предварительную разметку шнуром длиной 150...200 м осуществляют двое дорожных рабочих. </w:t>
      </w:r>
      <w:r>
        <w:rPr>
          <w:sz w:val="24"/>
          <w:szCs w:val="24"/>
        </w:rPr>
        <w:t>Ш</w:t>
      </w:r>
      <w:r w:rsidRPr="007D4CCE">
        <w:rPr>
          <w:sz w:val="24"/>
          <w:szCs w:val="24"/>
        </w:rPr>
        <w:t>нур закрепляют с помощью дюбелей, вбиваемых в покрытие.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Для лучшей сохранности намечаемых линий рекомендуется вдоль шнура наметить краской точки с интервалом 20...50 м или чаще.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При выполнении разметки термопластиком перед началом работ необходимо проверить годность разметочного материала, а при необходимости довести его до рабочего </w:t>
      </w:r>
      <w:r w:rsidRPr="00C0483B">
        <w:rPr>
          <w:rStyle w:val="8pt"/>
          <w:sz w:val="24"/>
          <w:szCs w:val="24"/>
        </w:rPr>
        <w:t>состоян</w:t>
      </w:r>
      <w:r>
        <w:rPr>
          <w:rStyle w:val="8pt"/>
          <w:sz w:val="24"/>
          <w:szCs w:val="24"/>
        </w:rPr>
        <w:t>и</w:t>
      </w:r>
      <w:r w:rsidRPr="00C0483B">
        <w:rPr>
          <w:rStyle w:val="8pt"/>
          <w:sz w:val="24"/>
          <w:szCs w:val="24"/>
        </w:rPr>
        <w:t>я</w:t>
      </w:r>
      <w:r w:rsidRPr="00C0483B">
        <w:rPr>
          <w:rStyle w:val="9pt"/>
          <w:sz w:val="24"/>
          <w:szCs w:val="24"/>
        </w:rPr>
        <w:t>.</w:t>
      </w:r>
      <w:r w:rsidRPr="007D4CCE">
        <w:rPr>
          <w:rStyle w:val="9pt"/>
          <w:sz w:val="24"/>
          <w:szCs w:val="24"/>
        </w:rPr>
        <w:t xml:space="preserve"> </w:t>
      </w:r>
      <w:r w:rsidRPr="007D4CCE">
        <w:rPr>
          <w:sz w:val="24"/>
          <w:szCs w:val="24"/>
        </w:rPr>
        <w:t>Так, если в результате длительного хранения термопластик слежался или скомковался, его следует разбить на куски, размер которых не затруднит работу мешалки в котле машины. Если предполагается проводить работу с вновь полученной партией термопластика, следует проверить наличие сертификата соответств</w:t>
      </w:r>
      <w:r>
        <w:rPr>
          <w:sz w:val="24"/>
          <w:szCs w:val="24"/>
        </w:rPr>
        <w:t>и</w:t>
      </w:r>
      <w:r w:rsidRPr="007D4CCE">
        <w:rPr>
          <w:sz w:val="24"/>
          <w:szCs w:val="24"/>
        </w:rPr>
        <w:t>я материала требованиям нормативных документов и ознакомиться с инструкцией по его применению.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Перед началом работ по разметке дорог термопластиком необходимо также привести в рабочее состояние маркировочную машину, а также вспомогательное оборудование.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Разогрев термопластика целесообразно проводить отдельно в маточном котле (емкостью 800 кг и более) с последующим отбором в котел маркировочной машины.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отсутствии маточного котла разогрев термопластика проводят в разметочной машине. Для этого включают газовые горелки и в течение 1...2 ч нагревают теплоноситель (масло) в рубашке котла маркировочной машины.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Если маркировочная машина уже использовалась для маркировки, при достижении температуры 120...130°С выключают горелки и очищают котел от остатков старого термопластика, а затем опять включают горелки.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температуре теплоносителя в рубашке котла 140...150 °С включают мешалку и начинают загрузку термопластика в котел. При загрузке термопластика следят, чтобы вместе с ним в котел не попадали посторонние предметы.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Затем, примерно в течение 3...4 ч, при включенной системе продолжают загрузку термопластика, последовательно добавляя в котел 1</w:t>
      </w:r>
      <w:r>
        <w:rPr>
          <w:sz w:val="24"/>
          <w:szCs w:val="24"/>
        </w:rPr>
        <w:t>-2 мешка через каждые 10...</w:t>
      </w:r>
      <w:r w:rsidRPr="007D4CCE">
        <w:rPr>
          <w:sz w:val="24"/>
          <w:szCs w:val="24"/>
        </w:rPr>
        <w:t>15 мин.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В период загрузки и плавления термопластика постоянно следят за тем, чтобы температура теплоносителя не превышала 220 °С, а температура расплава термопластика в котле под</w:t>
      </w:r>
      <w:r>
        <w:rPr>
          <w:sz w:val="24"/>
          <w:szCs w:val="24"/>
        </w:rPr>
        <w:t>д</w:t>
      </w:r>
      <w:r w:rsidRPr="007D4CCE">
        <w:rPr>
          <w:sz w:val="24"/>
          <w:szCs w:val="24"/>
        </w:rPr>
        <w:t xml:space="preserve">ерживалась на уровне рабочей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обычно (180 ± 5) °С; регулируют температуру включая или выключая горелки.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Предельное заполнение емкости котла маркировочной машины ДЭ-21 термопластиком не должно превышать 400 кг во избежание выплескивания расплавленного материала при движении машины.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Прежде чем приступить к разметке разогретым термопластиком, необходимо очистить от остатков материала предыдущего цикла работ трубопровод, соединяющий коте</w:t>
      </w:r>
      <w:r>
        <w:rPr>
          <w:sz w:val="24"/>
          <w:szCs w:val="24"/>
        </w:rPr>
        <w:t>л</w:t>
      </w:r>
      <w:r w:rsidRPr="007D4CCE">
        <w:rPr>
          <w:sz w:val="24"/>
          <w:szCs w:val="24"/>
        </w:rPr>
        <w:t xml:space="preserve"> с </w:t>
      </w:r>
      <w:r w:rsidRPr="007D4CCE">
        <w:rPr>
          <w:sz w:val="24"/>
          <w:szCs w:val="24"/>
        </w:rPr>
        <w:lastRenderedPageBreak/>
        <w:t>маркером.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С этой целью небол</w:t>
      </w:r>
      <w:r>
        <w:rPr>
          <w:sz w:val="24"/>
          <w:szCs w:val="24"/>
        </w:rPr>
        <w:t>ьш</w:t>
      </w:r>
      <w:r w:rsidRPr="007D4CCE">
        <w:rPr>
          <w:sz w:val="24"/>
          <w:szCs w:val="24"/>
        </w:rPr>
        <w:t>ую часть расплава (3...5 кг) пропускают через маркер на подложку (использованный упаковочный мешок от термопластика).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Рабочая температура термопластика при нанесении разметки должна составлять (180±5)°С (обычно указывается в инструкции по применению). При понижении температуры возможно плохое истечение термопластика через маркер, что ухудшает качество разметки. При более высокой температуре возможно растекание материала за пределы контура маркировочной линии, а также тепловое разрушение материала и изменение его цвета.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До полного использования расплавленного термопластика не рекомендуется делать перерыв в работе.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Хранение термопластика при рабочей температуре (180 ± 5) °С не допускается. При необходимости кратковременного перерыва в работе термопластик следует охладить на 50...60°С.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В случае использования рефлектирующих микрошариков их засыпают в специальную емкость маркировочной машины, из которой они по трубопроводу попадают на горячую поверхность термопластика, нанесенного на покрытие.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После нанесения разметки термопластиком движение транспортных средств и пешеходов на участке выполненных работ можно открывать через 15...20 мин, в зависимости от температуры и влажности воздуха.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Естественная убыль термопластика при работах, связанных с его нанесением, составляет 5 %.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Термопластик ПЛ-5142 в сухом виде не токсичен, не пожароопасен, имеет температуру воспламенения 800...870°С. Однако при его плавлении и проведении работ по разметке следует соблюдать осторожность, так как расплав термопластика имеет высокую температуру и может вызвать сильный ожог.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Все работающие с термопластиком обязаны пройти специальный инструктаж и должны быть обеспечены защитной спецодеждой и спецобувью, а также средствами индивидуальной защиты (головной пластмассовый щиток, рукавицы, респиратор типа ШБ-1 «Лепесток»).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На месте ведения работ должна быть аптечка с медикаментами и средства пожаротушения.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работе с расплавом термопластика ПЛ-5142 необходимо учитывать, что выделяемые вредные пары, образующиеся при его перегреве, отрицательно влияют на организм человека.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разметке дороги с помощью красок (например, ЭП-5155, НП-501) перед их заливкой в бак разметочной машины следует проверить их годность к использованию, особенно в случаях, когда краска хранилась длительное время. Затем краску необходимо перемешать до однородного состояния барботажем воздухом, перекатыванием в бочке или перемешиванием веслом.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Перед началом работы необходимо определить условную вязкость состава НП-501 и краски ЭП-5155 с помощью вискозиметра ВЗ-4 при температуре (20 ± 0,5) °С. Вязкость состава НП-501 должна быть в пределах 30... 120 с, краски ЭП-5155 —40... 120 с.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необходимости состав НП-501 разбавляют до рабочей вязкости ксилолом или бутилацетатом в количестве, не превы- шающем 10%.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Не допускается смешивания состава НП-501 с нитроэпоксидной эмалью ЭП-5155 и другими лакокрасочными материалами.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Перед заправкой емкостей маркировочной машины состав НП-501 необходимо профильтровать через сетку с ячейками 0,1...0,2 мм или три слоя марли, чтобы избежать засорения краскопроводящей системы.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После подготовки маркировочной машины к работе и заправки ее емкостей составом НП-501 или краской ЭП-5155 и регулировки расхода материала краскораспылитель устанавливают в исходное положение. Форсунку размещают точно по центру, чтобы факел маркировочного материала смачивал ограничительные диски на расстоянии 30...40 мм от покрытия.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Запустив двигатель компрессора, доводят давление воздуха в ресивере до 0,6 МПа, открывают краны подачи воздуха в емкости с составом и регулятором на пульте управления </w:t>
      </w:r>
      <w:r w:rsidRPr="007D4CCE">
        <w:rPr>
          <w:sz w:val="24"/>
          <w:szCs w:val="24"/>
        </w:rPr>
        <w:lastRenderedPageBreak/>
        <w:t>устанавливают рабочее давление. Затем открывают краны подачи воздуха к пнев- моприводу мешалок для перемешивания состава в емкостях в течение 10...15 мин. Если на машине не предусмотрен автоматический привод мешалки емкости с составом, эту операцию выполняют вручную.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  <w:lang w:val="en-US"/>
        </w:rPr>
      </w:pPr>
      <w:r w:rsidRPr="007D4CCE">
        <w:rPr>
          <w:sz w:val="24"/>
          <w:szCs w:val="24"/>
        </w:rPr>
        <w:t>После этого открывают краны подачи воздуха к форсунке, затем краны подачи состава и заполняют краскопров</w:t>
      </w:r>
      <w:r>
        <w:rPr>
          <w:sz w:val="24"/>
          <w:szCs w:val="24"/>
        </w:rPr>
        <w:t>одящую си</w:t>
      </w:r>
      <w:r w:rsidRPr="007D4CCE">
        <w:rPr>
          <w:sz w:val="24"/>
          <w:szCs w:val="24"/>
        </w:rPr>
        <w:t>стему. На программном блоке устанавливают режим работы форсунки. Нормальный расход нитроэпоксидной эмали и состава НП-501 составляет 350...700 г/м</w:t>
      </w:r>
      <w:r w:rsidRPr="007D4CCE">
        <w:rPr>
          <w:sz w:val="24"/>
          <w:szCs w:val="24"/>
          <w:vertAlign w:val="superscript"/>
        </w:rPr>
        <w:t>2</w:t>
      </w:r>
      <w:r w:rsidRPr="007D4CCE">
        <w:rPr>
          <w:sz w:val="24"/>
          <w:szCs w:val="24"/>
        </w:rPr>
        <w:t>. Для определения фактического расхода рекомендуется использовать металлические пластины прямоугольной формы размером 70</w:t>
      </w:r>
      <w:r>
        <w:rPr>
          <w:rStyle w:val="95pt"/>
          <w:sz w:val="24"/>
          <w:szCs w:val="24"/>
        </w:rPr>
        <w:t>х</w:t>
      </w:r>
      <w:r w:rsidRPr="007D4CCE">
        <w:rPr>
          <w:sz w:val="24"/>
          <w:szCs w:val="24"/>
        </w:rPr>
        <w:t>150 мм, которые укладывают на проезжую часть по направлению движения рабочего органа маркировочной машины. После прохода краскораспыляющей форсунки над пластино</w:t>
      </w:r>
      <w:r>
        <w:rPr>
          <w:sz w:val="24"/>
          <w:szCs w:val="24"/>
        </w:rPr>
        <w:t>й, пластину высушивают и взвеши</w:t>
      </w:r>
      <w:r w:rsidRPr="007D4CCE">
        <w:rPr>
          <w:sz w:val="24"/>
          <w:szCs w:val="24"/>
        </w:rPr>
        <w:t xml:space="preserve">вают. Расход состава </w:t>
      </w:r>
      <w:r>
        <w:rPr>
          <w:rStyle w:val="a4"/>
          <w:sz w:val="24"/>
          <w:szCs w:val="24"/>
          <w:lang w:val="en-US"/>
        </w:rPr>
        <w:t>Q</w:t>
      </w:r>
      <w:r w:rsidRPr="007D4CCE">
        <w:rPr>
          <w:sz w:val="24"/>
          <w:szCs w:val="24"/>
        </w:rPr>
        <w:t xml:space="preserve"> г/м</w:t>
      </w:r>
      <w:r w:rsidRPr="007D4CCE">
        <w:rPr>
          <w:sz w:val="24"/>
          <w:szCs w:val="24"/>
          <w:vertAlign w:val="superscript"/>
        </w:rPr>
        <w:t>2</w:t>
      </w:r>
      <w:r w:rsidRPr="007D4CCE">
        <w:rPr>
          <w:sz w:val="24"/>
          <w:szCs w:val="24"/>
        </w:rPr>
        <w:t>, определяют по разности массы пластины до и после покраски по формуле</w:t>
      </w:r>
    </w:p>
    <w:p w:rsidR="00B33D44" w:rsidRPr="00C0483B" w:rsidRDefault="00B33D44" w:rsidP="00B33D44">
      <w:pPr>
        <w:pStyle w:val="2"/>
        <w:shd w:val="clear" w:color="auto" w:fill="auto"/>
        <w:spacing w:line="240" w:lineRule="auto"/>
        <w:jc w:val="center"/>
        <w:rPr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3A64D1B" wp14:editId="3DE8C2A0">
            <wp:extent cx="1295400" cy="51435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где </w:t>
      </w:r>
      <w:r w:rsidRPr="007D4CCE">
        <w:rPr>
          <w:rStyle w:val="a4"/>
          <w:sz w:val="24"/>
          <w:szCs w:val="24"/>
        </w:rPr>
        <w:t>Р</w:t>
      </w:r>
      <w:r w:rsidRPr="007D4CCE">
        <w:rPr>
          <w:rStyle w:val="a4"/>
          <w:sz w:val="24"/>
          <w:szCs w:val="24"/>
          <w:vertAlign w:val="subscript"/>
        </w:rPr>
        <w:t>2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масса пластины после нанесения состава и его высыхания, г; </w:t>
      </w:r>
      <w:r w:rsidRPr="008107C5">
        <w:rPr>
          <w:i/>
          <w:sz w:val="24"/>
          <w:szCs w:val="24"/>
        </w:rPr>
        <w:t>Р</w:t>
      </w:r>
      <w:r w:rsidRPr="008107C5">
        <w:rPr>
          <w:i/>
          <w:sz w:val="24"/>
          <w:szCs w:val="24"/>
          <w:vertAlign w:val="subscript"/>
        </w:rPr>
        <w:t>1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масса пластины до нанесения состава, г; </w:t>
      </w:r>
      <w:r>
        <w:rPr>
          <w:i/>
          <w:sz w:val="24"/>
          <w:szCs w:val="24"/>
          <w:lang w:val="en-US"/>
        </w:rPr>
        <w:t>S</w:t>
      </w:r>
      <w:r w:rsidRPr="008107C5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площадь пластины, м</w:t>
      </w:r>
      <w:r w:rsidRPr="007D4CCE">
        <w:rPr>
          <w:sz w:val="24"/>
          <w:szCs w:val="24"/>
          <w:vertAlign w:val="superscript"/>
        </w:rPr>
        <w:t>2</w:t>
      </w:r>
      <w:r w:rsidRPr="007D4CCE">
        <w:rPr>
          <w:sz w:val="24"/>
          <w:szCs w:val="24"/>
        </w:rPr>
        <w:t xml:space="preserve">; </w:t>
      </w:r>
      <w:r w:rsidRPr="007D4CCE">
        <w:rPr>
          <w:rStyle w:val="a4"/>
          <w:sz w:val="24"/>
          <w:szCs w:val="24"/>
        </w:rPr>
        <w:t xml:space="preserve">С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доля содержания нелетучих веществ в составе материала, % (принимают в соответствии с техническими условиями на данный разметочный материал).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  <w:lang w:val="en-US"/>
        </w:rPr>
      </w:pPr>
      <w:r w:rsidRPr="007D4CCE">
        <w:rPr>
          <w:sz w:val="24"/>
          <w:szCs w:val="24"/>
        </w:rPr>
        <w:t>Расход состава можно также определить по разности толщины пластины до и после нанесения краски. Толщину пленки определяют микрометром. Расход находят по формуле</w:t>
      </w:r>
    </w:p>
    <w:p w:rsidR="00B33D44" w:rsidRPr="008107C5" w:rsidRDefault="00B33D44" w:rsidP="00B33D44">
      <w:pPr>
        <w:pStyle w:val="2"/>
        <w:shd w:val="clear" w:color="auto" w:fill="auto"/>
        <w:spacing w:line="240" w:lineRule="auto"/>
        <w:jc w:val="center"/>
        <w:rPr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57F4859" wp14:editId="1F07381B">
            <wp:extent cx="1504950" cy="542925"/>
            <wp:effectExtent l="0" t="0" r="0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8"/>
        <w:rPr>
          <w:sz w:val="24"/>
          <w:szCs w:val="24"/>
        </w:rPr>
      </w:pPr>
      <w:r w:rsidRPr="007D4CCE">
        <w:rPr>
          <w:sz w:val="24"/>
          <w:szCs w:val="24"/>
        </w:rPr>
        <w:t xml:space="preserve">где </w:t>
      </w:r>
      <w:r w:rsidRPr="008107C5">
        <w:rPr>
          <w:i/>
          <w:color w:val="FF0000"/>
          <w:sz w:val="24"/>
          <w:szCs w:val="24"/>
        </w:rPr>
        <w:t>р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плотность сухой пленки состава, для НП-501 </w:t>
      </w:r>
      <w:r w:rsidRPr="008107C5">
        <w:rPr>
          <w:i/>
          <w:color w:val="FF0000"/>
          <w:sz w:val="24"/>
          <w:szCs w:val="24"/>
        </w:rPr>
        <w:t>р</w:t>
      </w:r>
      <w:r w:rsidRPr="007D4CCE">
        <w:rPr>
          <w:sz w:val="24"/>
          <w:szCs w:val="24"/>
        </w:rPr>
        <w:t xml:space="preserve"> = 2 г/см</w:t>
      </w:r>
      <w:r w:rsidRPr="007D4CCE">
        <w:rPr>
          <w:sz w:val="24"/>
          <w:szCs w:val="24"/>
          <w:vertAlign w:val="superscript"/>
        </w:rPr>
        <w:t>3</w:t>
      </w:r>
      <w:r w:rsidRPr="007D4CCE">
        <w:rPr>
          <w:sz w:val="24"/>
          <w:szCs w:val="24"/>
        </w:rPr>
        <w:t xml:space="preserve">; </w:t>
      </w:r>
      <w:r w:rsidRPr="007D4CCE">
        <w:rPr>
          <w:rStyle w:val="a4"/>
          <w:sz w:val="24"/>
          <w:szCs w:val="24"/>
        </w:rPr>
        <w:t>һ</w:t>
      </w:r>
      <w:r w:rsidRPr="007D4CCE">
        <w:rPr>
          <w:rStyle w:val="a4"/>
          <w:sz w:val="24"/>
          <w:szCs w:val="24"/>
          <w:vertAlign w:val="subscript"/>
        </w:rPr>
        <w:t>2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толщина пластины после нанесения состава и его высыхания, см; </w:t>
      </w:r>
      <w:r w:rsidRPr="007D4CCE">
        <w:rPr>
          <w:rStyle w:val="a4"/>
          <w:sz w:val="24"/>
          <w:szCs w:val="24"/>
        </w:rPr>
        <w:t>һ</w:t>
      </w:r>
      <w:r w:rsidRPr="008107C5">
        <w:rPr>
          <w:rStyle w:val="a4"/>
          <w:sz w:val="24"/>
          <w:szCs w:val="24"/>
          <w:vertAlign w:val="subscript"/>
        </w:rPr>
        <w:t>1</w:t>
      </w:r>
      <w:r w:rsidRPr="007D4CCE">
        <w:rPr>
          <w:rStyle w:val="a4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>–</w:t>
      </w:r>
      <w:r w:rsidRPr="007D4CCE">
        <w:rPr>
          <w:sz w:val="24"/>
          <w:szCs w:val="24"/>
        </w:rPr>
        <w:t xml:space="preserve"> толщина пластины до нанесен</w:t>
      </w:r>
      <w:r>
        <w:rPr>
          <w:sz w:val="24"/>
          <w:szCs w:val="24"/>
        </w:rPr>
        <w:t>и</w:t>
      </w:r>
      <w:r w:rsidRPr="007D4CCE">
        <w:rPr>
          <w:sz w:val="24"/>
          <w:szCs w:val="24"/>
        </w:rPr>
        <w:t xml:space="preserve">я состава, см; </w:t>
      </w:r>
      <w:r w:rsidRPr="008107C5">
        <w:rPr>
          <w:i/>
          <w:sz w:val="24"/>
          <w:szCs w:val="24"/>
        </w:rPr>
        <w:t>С</w:t>
      </w:r>
      <w:r w:rsidRPr="007D4CCE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доля содержания нелетучих веществ в составе, %.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8"/>
        <w:rPr>
          <w:sz w:val="24"/>
          <w:szCs w:val="24"/>
        </w:rPr>
      </w:pPr>
      <w:r w:rsidRPr="007D4CCE">
        <w:rPr>
          <w:sz w:val="24"/>
          <w:szCs w:val="24"/>
        </w:rPr>
        <w:t>На новых асфальтобетонных покрытиях разметку составом НП-</w:t>
      </w:r>
      <w:r>
        <w:rPr>
          <w:sz w:val="24"/>
          <w:szCs w:val="24"/>
        </w:rPr>
        <w:t xml:space="preserve">501 </w:t>
      </w:r>
      <w:r w:rsidRPr="007D4CCE">
        <w:rPr>
          <w:sz w:val="24"/>
          <w:szCs w:val="24"/>
        </w:rPr>
        <w:t>рекомендуют выполнять по</w:t>
      </w:r>
      <w:r>
        <w:rPr>
          <w:sz w:val="24"/>
          <w:szCs w:val="24"/>
        </w:rPr>
        <w:t>сле того, как с поверхности про</w:t>
      </w:r>
      <w:r w:rsidRPr="007D4CCE">
        <w:rPr>
          <w:sz w:val="24"/>
          <w:szCs w:val="24"/>
        </w:rPr>
        <w:t>езжей части исчезнет битумная пленка, препятствующая высыханию состава и способствующая ускоренному износу разметки.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После окончания работы остаток состава или краски сливают в емкость, а бак и всю систему трубопроводов маркировочной машины промывают соответствующим растворителем (если использовали краску ЭП-5155, промывают ацетоном, если состав НП-501 </w:t>
      </w:r>
      <w:r>
        <w:rPr>
          <w:sz w:val="24"/>
          <w:szCs w:val="24"/>
        </w:rPr>
        <w:t>–</w:t>
      </w:r>
      <w:r w:rsidRPr="007D4CCE">
        <w:rPr>
          <w:sz w:val="24"/>
          <w:szCs w:val="24"/>
        </w:rPr>
        <w:t xml:space="preserve"> толуолом, ксилолом или бутилацетатом).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При заправке баков маркировочной машины составом НП-501 или краской ЭП-5155 запрещается курить, зажигать спички или пользоваться другими источниками открытого огня. На машине должны быть установлены исправные огнетушители.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В случае загорания маркировочного материала для его тушения используют песок, кошму, огнетушители (пенные и углекислотные), тонкораспыленную воду.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Разметка полимерными лентами упрощает работу и обеспечивает существенное увеличение долговечности дорожной разметки.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Ленты раскатывают на горячем свежеуложенном асфальтобетоне при его температуре 60.</w:t>
      </w:r>
      <w:r>
        <w:rPr>
          <w:sz w:val="24"/>
          <w:szCs w:val="24"/>
        </w:rPr>
        <w:t>..</w:t>
      </w:r>
      <w:r w:rsidRPr="007D4CCE">
        <w:rPr>
          <w:sz w:val="24"/>
          <w:szCs w:val="24"/>
        </w:rPr>
        <w:t>80 °С и утапливают катком, обеспечивая, таким образом, единое покрытие. Лента имеет собственный клеевой слой, обеспечивающий ее надежное соединение с асфальтобетоном на весь период эксплуатации дорожного покрытия. Лента рассчитана на высокие эксплуатационные нагрузки в течение 4</w:t>
      </w:r>
      <w:r>
        <w:rPr>
          <w:sz w:val="24"/>
          <w:szCs w:val="24"/>
        </w:rPr>
        <w:t xml:space="preserve"> – </w:t>
      </w:r>
      <w:r w:rsidRPr="007D4CCE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 w:rsidRPr="007D4CCE">
        <w:rPr>
          <w:sz w:val="24"/>
          <w:szCs w:val="24"/>
        </w:rPr>
        <w:t>лет и обеспечивает при этом высокий уровень световозвращения, отвечающий как требованиям ГОСТа, так и европейским нормам безопасности. Лента обеспечивает высокий коэффициент сцепления с колесами автомобилей, не допуская скольжения даже в мокром состоянии. Из ленты можно делать стрелы для обозначения направления движения, островки безопасности, цифры, буквы и маркировку искусственных неровностей.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Ленты для разметки дорог различают по типам: для временной и длительной эксплуатации, их поверхность может быть ровной или профилированной, ленты могут быть белого или оранжевого цвета.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lastRenderedPageBreak/>
        <w:t>Для повышения световозвращающего эффекта в краску и термопластик добавляют стеклошарики. Оптимальными являются стеклошарики с фракционным составом 100...600 и 400...800 мкм. Они дают наилучший коэффициент световозвращения и при этом обладают достаточной прочностью, не выбиваясь из покрытия под действием колес автомобилей.</w:t>
      </w:r>
    </w:p>
    <w:p w:rsidR="00B33D44" w:rsidRPr="007D4CCE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>Стеклошарики могут быть введены в краску или термопластик в процессе приготовления этих материалов или рассыпаны на поверхность свежеуложенного материала. Наиболее эффективной считается технология, при которой часть стеклошариков вводится в разметочный материал при его приготовлении, а часть рассыпается на свежеуложенный материал.</w:t>
      </w:r>
    </w:p>
    <w:p w:rsidR="00B33D44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7D4CCE">
        <w:rPr>
          <w:sz w:val="24"/>
          <w:szCs w:val="24"/>
        </w:rPr>
        <w:t xml:space="preserve">Восстановление дорожной разметки производят, когда ее износ по площади (для продольной разметки измеряют на участке протяженностыо 50 м) составляет более 50 % при выполнении ее краской и более 25 % </w:t>
      </w:r>
      <w:r>
        <w:rPr>
          <w:sz w:val="24"/>
          <w:szCs w:val="24"/>
        </w:rPr>
        <w:t>-</w:t>
      </w:r>
      <w:r w:rsidRPr="007D4CCE">
        <w:rPr>
          <w:sz w:val="24"/>
          <w:szCs w:val="24"/>
        </w:rPr>
        <w:t xml:space="preserve"> термопластичными массами. Восстановление обычно производят той же разметочной техникой, что и при ее первоначальном нанесении. Если в процессе восстановления разметки ее линии не совпадают с ранее нанесенными или изменилась схема разметки участка дороги, старые линии разметки, выполненной с применением краски, закрашивают краской под цвет покрытия, а разметку из термопластика срезают фрезой.</w:t>
      </w:r>
    </w:p>
    <w:p w:rsidR="00B33D44" w:rsidRPr="008107C5" w:rsidRDefault="00B33D44" w:rsidP="00B33D44">
      <w:pPr>
        <w:pStyle w:val="2"/>
        <w:shd w:val="clear" w:color="auto" w:fill="auto"/>
        <w:spacing w:line="240" w:lineRule="auto"/>
        <w:ind w:firstLine="709"/>
        <w:rPr>
          <w:sz w:val="24"/>
          <w:szCs w:val="24"/>
        </w:rPr>
      </w:pPr>
    </w:p>
    <w:p w:rsidR="004A233A" w:rsidRDefault="004A233A">
      <w:bookmarkStart w:id="1" w:name="_GoBack"/>
      <w:bookmarkEnd w:id="1"/>
    </w:p>
    <w:sectPr w:rsidR="004A233A" w:rsidSect="007D4CCE">
      <w:pgSz w:w="11909" w:h="16834"/>
      <w:pgMar w:top="851" w:right="567" w:bottom="567" w:left="1701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114B5"/>
    <w:multiLevelType w:val="hybridMultilevel"/>
    <w:tmpl w:val="20C6B296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0ED1D97"/>
    <w:multiLevelType w:val="hybridMultilevel"/>
    <w:tmpl w:val="B69628AA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A2"/>
    <w:rsid w:val="004A233A"/>
    <w:rsid w:val="00B33D44"/>
    <w:rsid w:val="00E1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5309D-4AF0-46C3-8F72-BBFD73426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B33D4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B33D4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pt">
    <w:name w:val="Подпись к картинке + Курсив;Интервал 2 pt"/>
    <w:basedOn w:val="a0"/>
    <w:rsid w:val="00B33D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0"/>
      <w:w w:val="100"/>
      <w:position w:val="0"/>
      <w:sz w:val="19"/>
      <w:szCs w:val="19"/>
      <w:u w:val="none"/>
      <w:lang w:val="kk-KZ"/>
    </w:rPr>
  </w:style>
  <w:style w:type="character" w:customStyle="1" w:styleId="a4">
    <w:name w:val="Основной текст + Курсив"/>
    <w:basedOn w:val="a3"/>
    <w:rsid w:val="00B33D4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kk-KZ"/>
    </w:rPr>
  </w:style>
  <w:style w:type="character" w:customStyle="1" w:styleId="31">
    <w:name w:val="Заголовок №3_"/>
    <w:basedOn w:val="a0"/>
    <w:link w:val="32"/>
    <w:rsid w:val="00B33D44"/>
    <w:rPr>
      <w:rFonts w:ascii="Arial" w:eastAsia="Arial" w:hAnsi="Arial" w:cs="Arial"/>
      <w:b/>
      <w:bCs/>
      <w:spacing w:val="-10"/>
      <w:sz w:val="23"/>
      <w:szCs w:val="23"/>
      <w:shd w:val="clear" w:color="auto" w:fill="FFFFFF"/>
    </w:rPr>
  </w:style>
  <w:style w:type="character" w:customStyle="1" w:styleId="1">
    <w:name w:val="Основной текст1"/>
    <w:basedOn w:val="a3"/>
    <w:rsid w:val="00B33D44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kk-KZ"/>
    </w:rPr>
  </w:style>
  <w:style w:type="character" w:customStyle="1" w:styleId="6">
    <w:name w:val="Основной текст (6)_"/>
    <w:basedOn w:val="a0"/>
    <w:link w:val="60"/>
    <w:rsid w:val="00B33D44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1">
    <w:name w:val="Основной текст (6) + Не курсив"/>
    <w:basedOn w:val="6"/>
    <w:rsid w:val="00B33D4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kk-KZ"/>
    </w:rPr>
  </w:style>
  <w:style w:type="character" w:customStyle="1" w:styleId="11pt">
    <w:name w:val="Подпись к картинке + 11 pt"/>
    <w:basedOn w:val="a0"/>
    <w:rsid w:val="00B3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kk-KZ"/>
    </w:rPr>
  </w:style>
  <w:style w:type="character" w:customStyle="1" w:styleId="115pt">
    <w:name w:val="Подпись к картинке + 11;5 pt"/>
    <w:basedOn w:val="a0"/>
    <w:rsid w:val="00B33D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kk-KZ"/>
    </w:rPr>
  </w:style>
  <w:style w:type="character" w:customStyle="1" w:styleId="8pt">
    <w:name w:val="Основной текст + 8 pt;Полужирный"/>
    <w:basedOn w:val="a3"/>
    <w:rsid w:val="00B33D4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kk-KZ"/>
    </w:rPr>
  </w:style>
  <w:style w:type="character" w:customStyle="1" w:styleId="9pt">
    <w:name w:val="Основной текст + 9 pt;Полужирный"/>
    <w:basedOn w:val="a3"/>
    <w:rsid w:val="00B33D4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kk-KZ"/>
    </w:rPr>
  </w:style>
  <w:style w:type="character" w:customStyle="1" w:styleId="95pt">
    <w:name w:val="Основной текст + 9;5 pt"/>
    <w:basedOn w:val="a3"/>
    <w:rsid w:val="00B33D44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kk-KZ"/>
    </w:rPr>
  </w:style>
  <w:style w:type="paragraph" w:customStyle="1" w:styleId="2">
    <w:name w:val="Основной текст2"/>
    <w:basedOn w:val="a"/>
    <w:link w:val="a3"/>
    <w:rsid w:val="00B33D44"/>
    <w:pPr>
      <w:widowControl w:val="0"/>
      <w:shd w:val="clear" w:color="auto" w:fill="FFFFFF"/>
      <w:spacing w:after="0" w:line="228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B33D44"/>
    <w:pPr>
      <w:widowControl w:val="0"/>
      <w:shd w:val="clear" w:color="auto" w:fill="FFFFFF"/>
      <w:spacing w:after="0" w:line="228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32">
    <w:name w:val="Заголовок №3"/>
    <w:basedOn w:val="a"/>
    <w:link w:val="31"/>
    <w:rsid w:val="00B33D44"/>
    <w:pPr>
      <w:widowControl w:val="0"/>
      <w:shd w:val="clear" w:color="auto" w:fill="FFFFFF"/>
      <w:spacing w:before="360" w:after="120" w:line="264" w:lineRule="exact"/>
      <w:outlineLvl w:val="2"/>
    </w:pPr>
    <w:rPr>
      <w:rFonts w:ascii="Arial" w:eastAsia="Arial" w:hAnsi="Arial" w:cs="Arial"/>
      <w:b/>
      <w:bCs/>
      <w:spacing w:val="-10"/>
      <w:sz w:val="23"/>
      <w:szCs w:val="23"/>
    </w:rPr>
  </w:style>
  <w:style w:type="paragraph" w:customStyle="1" w:styleId="60">
    <w:name w:val="Основной текст (6)"/>
    <w:basedOn w:val="a"/>
    <w:link w:val="6"/>
    <w:rsid w:val="00B33D44"/>
    <w:pPr>
      <w:widowControl w:val="0"/>
      <w:shd w:val="clear" w:color="auto" w:fill="FFFFFF"/>
      <w:spacing w:after="0" w:line="228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2713</Words>
  <Characters>15469</Characters>
  <Application>Microsoft Office Word</Application>
  <DocSecurity>0</DocSecurity>
  <Lines>128</Lines>
  <Paragraphs>36</Paragraphs>
  <ScaleCrop>false</ScaleCrop>
  <Company/>
  <LinksUpToDate>false</LinksUpToDate>
  <CharactersWithSpaces>18146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2020-10-31T05:38:00Z</dcterms:created>
  <dcterms:modified xsi:type="dcterms:W3CDTF">2020-10-31T05:39:00Z</dcterms:modified>
</cp:coreProperties>
</file>